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042" w:rsidRPr="00157328" w:rsidRDefault="004B2042" w:rsidP="004B2042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4B2042" w:rsidRPr="00157328" w:rsidRDefault="004B2042" w:rsidP="004B2042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 Виды эмоций и их общая характеристика. Высшие чувства. Основные характеристики настроений.</w:t>
      </w:r>
    </w:p>
    <w:p w:rsidR="004B2042" w:rsidRPr="00157328" w:rsidRDefault="004B2042" w:rsidP="004B2042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 Развитие эмоций и их значение в жизни человека. Фрустрация как механизм формирования эмоций.</w:t>
      </w:r>
    </w:p>
    <w:p w:rsidR="004B2042" w:rsidRPr="00157328" w:rsidRDefault="004B2042" w:rsidP="004B2042">
      <w:pPr>
        <w:ind w:firstLine="708"/>
        <w:jc w:val="both"/>
        <w:rPr>
          <w:bCs/>
          <w:sz w:val="24"/>
          <w:szCs w:val="24"/>
          <w:lang w:val="kk-KZ"/>
        </w:rPr>
      </w:pPr>
      <w:r w:rsidRPr="00157328">
        <w:rPr>
          <w:sz w:val="24"/>
          <w:szCs w:val="24"/>
        </w:rPr>
        <w:t xml:space="preserve">3 </w:t>
      </w:r>
      <w:r w:rsidRPr="00157328">
        <w:rPr>
          <w:bCs/>
          <w:sz w:val="24"/>
          <w:szCs w:val="24"/>
          <w:lang w:val="kk-KZ"/>
        </w:rPr>
        <w:t>Регуляция эмоциональных состояний (Ф.Б.Березин). Функции и классификация видов психологической защиты. Роль фрустрации в формировании стрессовых состояний. Способы выхода из стрессовых ситуаций.</w:t>
      </w:r>
    </w:p>
    <w:p w:rsidR="00C73FFA" w:rsidRPr="004B2042" w:rsidRDefault="00C73FFA">
      <w:pPr>
        <w:rPr>
          <w:lang w:val="kk-KZ"/>
        </w:rPr>
      </w:pPr>
      <w:bookmarkStart w:id="0" w:name="_GoBack"/>
      <w:bookmarkEnd w:id="0"/>
    </w:p>
    <w:sectPr w:rsidR="00C73FFA" w:rsidRPr="004B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E84"/>
    <w:rsid w:val="004B2042"/>
    <w:rsid w:val="00977E84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0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0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2020-01-20T04:57:00Z</dcterms:created>
  <dcterms:modified xsi:type="dcterms:W3CDTF">2020-01-20T04:57:00Z</dcterms:modified>
</cp:coreProperties>
</file>